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Default="003C0C0D" w:rsidP="00041A81">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Pr>
          <w:rFonts w:ascii="Palatino Linotype" w:hAnsi="Palatino Linotype" w:cs="Arial"/>
          <w:b/>
        </w:rPr>
        <w:t xml:space="preserve">IPIOS, EN LA </w:t>
      </w:r>
      <w:r w:rsidR="006626EA">
        <w:rPr>
          <w:rFonts w:ascii="Palatino Linotype" w:hAnsi="Palatino Linotype" w:cs="Arial"/>
          <w:b/>
        </w:rPr>
        <w:t>SEGUNDA</w:t>
      </w:r>
      <w:r w:rsidR="00C54856">
        <w:rPr>
          <w:rFonts w:ascii="Palatino Linotype" w:hAnsi="Palatino Linotype" w:cs="Arial"/>
          <w:b/>
        </w:rPr>
        <w:t xml:space="preserve"> </w:t>
      </w:r>
      <w:r w:rsidR="006626EA">
        <w:rPr>
          <w:rFonts w:ascii="Palatino Linotype" w:hAnsi="Palatino Linotype" w:cs="Arial"/>
          <w:b/>
        </w:rPr>
        <w:t xml:space="preserve">SESIÓN ORDINARIA DE DIECISÉIS </w:t>
      </w:r>
      <w:r>
        <w:rPr>
          <w:rFonts w:ascii="Palatino Linotype" w:hAnsi="Palatino Linotype" w:cs="Arial"/>
          <w:b/>
        </w:rPr>
        <w:t xml:space="preserve">DE </w:t>
      </w:r>
      <w:r w:rsidR="006626EA">
        <w:rPr>
          <w:rFonts w:ascii="Palatino Linotype" w:hAnsi="Palatino Linotype" w:cs="Arial"/>
          <w:b/>
        </w:rPr>
        <w:t>ENERO DE DOS MIL DIECINUEVE, EN EL RECURSO DE REVISIÓN 04098</w:t>
      </w:r>
      <w:r>
        <w:rPr>
          <w:rFonts w:ascii="Palatino Linotype" w:hAnsi="Palatino Linotype" w:cs="Arial"/>
          <w:b/>
        </w:rPr>
        <w:t>/INFOEM/IP/RR/201</w:t>
      </w:r>
      <w:r w:rsidR="00C54856">
        <w:rPr>
          <w:rFonts w:ascii="Palatino Linotype" w:hAnsi="Palatino Linotype" w:cs="Arial"/>
          <w:b/>
        </w:rPr>
        <w:t>8</w:t>
      </w:r>
      <w:r>
        <w:rPr>
          <w:rFonts w:ascii="Palatino Linotype" w:eastAsia="Calibri" w:hAnsi="Palatino Linotype" w:cs="Arial"/>
          <w:b/>
          <w:color w:val="000000"/>
        </w:rPr>
        <w:t>.</w:t>
      </w:r>
    </w:p>
    <w:p w:rsidR="003C0C0D" w:rsidRDefault="003C0C0D" w:rsidP="00041A81">
      <w:pPr>
        <w:widowControl w:val="0"/>
        <w:spacing w:before="100" w:beforeAutospacing="1" w:after="100" w:afterAutospacing="1" w:line="360" w:lineRule="auto"/>
        <w:ind w:right="-164"/>
        <w:jc w:val="both"/>
        <w:rPr>
          <w:rFonts w:ascii="Palatino Linotype" w:hAnsi="Palatino Linotype" w:cs="Arial"/>
        </w:rPr>
      </w:pPr>
      <w:r>
        <w:rPr>
          <w:rFonts w:ascii="Palatino Linotype" w:hAnsi="Palatino Linotype" w:cs="Arial"/>
        </w:rPr>
        <w:t>Con fundamento en lo dispuesto por el artículo 14</w:t>
      </w:r>
      <w:r w:rsidR="00C54856">
        <w:rPr>
          <w:rFonts w:ascii="Palatino Linotype" w:hAnsi="Palatino Linotype" w:cs="Arial"/>
        </w:rPr>
        <w:t>,</w:t>
      </w:r>
      <w:r>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Pr>
          <w:rFonts w:ascii="Palatino Linotype" w:hAnsi="Palatino Linotype" w:cs="Arial"/>
          <w:b/>
          <w:lang w:val="es-ES_tradnl"/>
        </w:rPr>
        <w:t xml:space="preserve"> </w:t>
      </w:r>
      <w:r>
        <w:rPr>
          <w:rFonts w:ascii="Palatino Linotype" w:hAnsi="Palatino Linotype" w:cs="Arial"/>
          <w:b/>
        </w:rPr>
        <w:t xml:space="preserve">EVA ABAID YAPUR </w:t>
      </w:r>
      <w:r>
        <w:rPr>
          <w:rFonts w:ascii="Palatino Linotype" w:hAnsi="Palatino Linotype" w:cs="Arial"/>
        </w:rPr>
        <w:t xml:space="preserve">emite </w:t>
      </w:r>
      <w:r>
        <w:rPr>
          <w:rFonts w:ascii="Palatino Linotype" w:hAnsi="Palatino Linotype" w:cs="Arial"/>
          <w:b/>
        </w:rPr>
        <w:t xml:space="preserve">VOTO PARTICULAR </w:t>
      </w:r>
      <w:r>
        <w:rPr>
          <w:rFonts w:ascii="Palatino Linotype" w:hAnsi="Palatino Linotype" w:cs="Arial"/>
        </w:rPr>
        <w:t xml:space="preserve">respecto de la resolución dictada en el recurso de revisión </w:t>
      </w:r>
      <w:r w:rsidR="006626EA">
        <w:rPr>
          <w:rFonts w:ascii="Palatino Linotype" w:eastAsia="Calibri" w:hAnsi="Palatino Linotype" w:cs="Arial"/>
          <w:b/>
          <w:color w:val="000000"/>
        </w:rPr>
        <w:t>04098</w:t>
      </w:r>
      <w:r>
        <w:rPr>
          <w:rFonts w:ascii="Palatino Linotype" w:eastAsia="Calibri" w:hAnsi="Palatino Linotype" w:cs="Arial"/>
          <w:b/>
          <w:color w:val="000000"/>
        </w:rPr>
        <w:t>/INFOEM/IP/RR/201</w:t>
      </w:r>
      <w:r w:rsidR="00C54856">
        <w:rPr>
          <w:rFonts w:ascii="Palatino Linotype" w:eastAsia="Calibri" w:hAnsi="Palatino Linotype" w:cs="Arial"/>
          <w:b/>
          <w:color w:val="000000"/>
        </w:rPr>
        <w:t>8</w:t>
      </w:r>
      <w:r>
        <w:rPr>
          <w:rFonts w:ascii="Palatino Linotype" w:hAnsi="Palatino Linotype" w:cs="Arial"/>
        </w:rPr>
        <w:t xml:space="preserve">, pronunciada por el Pleno de este Instituto ante el </w:t>
      </w:r>
      <w:proofErr w:type="gramStart"/>
      <w:r>
        <w:rPr>
          <w:rFonts w:ascii="Palatino Linotype" w:hAnsi="Palatino Linotype" w:cs="Arial"/>
        </w:rPr>
        <w:t>proyecto</w:t>
      </w:r>
      <w:proofErr w:type="gramEnd"/>
      <w:r>
        <w:rPr>
          <w:rFonts w:ascii="Palatino Linotype" w:hAnsi="Palatino Linotype" w:cs="Arial"/>
        </w:rPr>
        <w:t xml:space="preserve"> presentado por el Comisionado </w:t>
      </w:r>
      <w:r>
        <w:rPr>
          <w:rFonts w:ascii="Palatino Linotype" w:hAnsi="Palatino Linotype" w:cs="Arial"/>
          <w:b/>
        </w:rPr>
        <w:t>JOSÉ GUADALUPE LUNA HERNÁNDEZ</w:t>
      </w:r>
      <w:r>
        <w:rPr>
          <w:rFonts w:ascii="Palatino Linotype" w:hAnsi="Palatino Linotype" w:cs="Arial"/>
        </w:rPr>
        <w:t>, que es del tenor siguiente.</w:t>
      </w:r>
    </w:p>
    <w:p w:rsidR="003C0C0D" w:rsidRDefault="003C0C0D" w:rsidP="00041A81">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la resolución correspondiente</w:t>
      </w:r>
      <w:r w:rsidRPr="00D93A88">
        <w:rPr>
          <w:rFonts w:ascii="Palatino Linotype" w:hAnsi="Palatino Linotype"/>
        </w:rPr>
        <w:t>.</w:t>
      </w:r>
    </w:p>
    <w:p w:rsidR="006626EA" w:rsidRDefault="003C0C0D" w:rsidP="00041A81">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requirió del</w:t>
      </w:r>
      <w:r w:rsidR="002E26C9">
        <w:rPr>
          <w:rFonts w:ascii="Palatino Linotype" w:hAnsi="Palatino Linotype"/>
        </w:rPr>
        <w:t xml:space="preserve"> </w:t>
      </w:r>
      <w:r w:rsidR="006626EA">
        <w:rPr>
          <w:rFonts w:ascii="Palatino Linotype" w:hAnsi="Palatino Linotype"/>
          <w:b/>
        </w:rPr>
        <w:t>Sindicato Unificado de Maestros y Académicos del Estado de México</w:t>
      </w:r>
      <w:r w:rsidR="002E26C9">
        <w:rPr>
          <w:rFonts w:ascii="Palatino Linotype" w:hAnsi="Palatino Linotype"/>
        </w:rPr>
        <w:t xml:space="preserve"> en lo sucesivo </w:t>
      </w:r>
      <w:r w:rsidR="002E26C9">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2E26C9">
        <w:rPr>
          <w:rFonts w:ascii="Palatino Linotype" w:hAnsi="Palatino Linotype"/>
        </w:rPr>
        <w:t xml:space="preserve">, </w:t>
      </w:r>
      <w:r w:rsidR="006626EA" w:rsidRPr="008057A7">
        <w:rPr>
          <w:rFonts w:ascii="Palatino Linotype" w:hAnsi="Palatino Linotype"/>
          <w:i/>
          <w:sz w:val="22"/>
          <w:szCs w:val="14"/>
        </w:rPr>
        <w:t>“</w:t>
      </w:r>
      <w:r w:rsidR="006626EA" w:rsidRPr="004A4420">
        <w:rPr>
          <w:rFonts w:ascii="Palatino Linotype" w:hAnsi="Palatino Linotype"/>
          <w:i/>
          <w:sz w:val="22"/>
          <w:szCs w:val="14"/>
        </w:rPr>
        <w:t xml:space="preserve">En atención a que subieron al portal de la </w:t>
      </w:r>
      <w:proofErr w:type="spellStart"/>
      <w:r w:rsidR="006626EA" w:rsidRPr="004A4420">
        <w:rPr>
          <w:rFonts w:ascii="Palatino Linotype" w:hAnsi="Palatino Linotype"/>
          <w:i/>
          <w:sz w:val="22"/>
          <w:szCs w:val="14"/>
        </w:rPr>
        <w:t>contraloria</w:t>
      </w:r>
      <w:proofErr w:type="spellEnd"/>
      <w:r w:rsidR="006626EA" w:rsidRPr="004A4420">
        <w:rPr>
          <w:rFonts w:ascii="Palatino Linotype" w:hAnsi="Palatino Linotype"/>
          <w:i/>
          <w:sz w:val="22"/>
          <w:szCs w:val="14"/>
        </w:rPr>
        <w:t xml:space="preserve"> del estado, casi todas las declaraciones patrimoniales, </w:t>
      </w:r>
      <w:r w:rsidR="006626EA" w:rsidRPr="004A4420">
        <w:rPr>
          <w:rFonts w:ascii="Palatino Linotype" w:hAnsi="Palatino Linotype"/>
          <w:i/>
          <w:sz w:val="22"/>
          <w:szCs w:val="14"/>
        </w:rPr>
        <w:lastRenderedPageBreak/>
        <w:t>faltan su tres de tres y subieron sus declaraciones de impuestos / a quienes, si están de acuerdo en hacer público un posible conflicto de intereses, como se puso en algunas declaraciones patrimoniales, Se les solicita entreguen esa información y la suban al portal que falta en muchos casos / aquellos que quieran</w:t>
      </w:r>
      <w:r w:rsidR="006626EA">
        <w:rPr>
          <w:rFonts w:ascii="Palatino Linotype" w:hAnsi="Palatino Linotype"/>
          <w:i/>
          <w:sz w:val="22"/>
          <w:szCs w:val="14"/>
        </w:rPr>
        <w:t xml:space="preserve"> entregar su tres de tres igual</w:t>
      </w:r>
      <w:r w:rsidR="006626EA" w:rsidRPr="004A4420">
        <w:rPr>
          <w:rFonts w:ascii="Palatino Linotype" w:hAnsi="Palatino Linotype"/>
          <w:i/>
          <w:sz w:val="22"/>
          <w:szCs w:val="14"/>
        </w:rPr>
        <w:t xml:space="preserve">, que la entreguen y la suban / a la titular de SSP se le solicita aclare, porque tiene dos declaraciones patrimoniales, inicial incompleta y una donde reporta conflicto de intereses, que no quiere hacer </w:t>
      </w:r>
      <w:proofErr w:type="spellStart"/>
      <w:r w:rsidR="006626EA" w:rsidRPr="004A4420">
        <w:rPr>
          <w:rFonts w:ascii="Palatino Linotype" w:hAnsi="Palatino Linotype"/>
          <w:i/>
          <w:sz w:val="22"/>
          <w:szCs w:val="14"/>
        </w:rPr>
        <w:t>publico</w:t>
      </w:r>
      <w:proofErr w:type="spellEnd"/>
      <w:r w:rsidR="006626EA" w:rsidRPr="004A4420">
        <w:rPr>
          <w:rFonts w:ascii="Palatino Linotype" w:hAnsi="Palatino Linotype"/>
          <w:i/>
          <w:sz w:val="22"/>
          <w:szCs w:val="14"/>
        </w:rPr>
        <w:t xml:space="preserve"> y otra inicial donde dice que </w:t>
      </w:r>
      <w:proofErr w:type="spellStart"/>
      <w:r w:rsidR="006626EA" w:rsidRPr="004A4420">
        <w:rPr>
          <w:rFonts w:ascii="Palatino Linotype" w:hAnsi="Palatino Linotype"/>
          <w:i/>
          <w:sz w:val="22"/>
          <w:szCs w:val="14"/>
        </w:rPr>
        <w:t>esta</w:t>
      </w:r>
      <w:proofErr w:type="spellEnd"/>
      <w:r w:rsidR="006626EA" w:rsidRPr="004A4420">
        <w:rPr>
          <w:rFonts w:ascii="Palatino Linotype" w:hAnsi="Palatino Linotype"/>
          <w:i/>
          <w:sz w:val="22"/>
          <w:szCs w:val="14"/>
        </w:rPr>
        <w:t xml:space="preserve"> de acuerdo en hacerlo </w:t>
      </w:r>
      <w:proofErr w:type="spellStart"/>
      <w:r w:rsidR="006626EA" w:rsidRPr="004A4420">
        <w:rPr>
          <w:rFonts w:ascii="Palatino Linotype" w:hAnsi="Palatino Linotype"/>
          <w:i/>
          <w:sz w:val="22"/>
          <w:szCs w:val="14"/>
        </w:rPr>
        <w:t>publico</w:t>
      </w:r>
      <w:proofErr w:type="spellEnd"/>
      <w:r w:rsidR="006626EA" w:rsidRPr="004A4420">
        <w:rPr>
          <w:rFonts w:ascii="Palatino Linotype" w:hAnsi="Palatino Linotype"/>
          <w:i/>
          <w:sz w:val="22"/>
          <w:szCs w:val="14"/>
        </w:rPr>
        <w:t xml:space="preserve">, pero no lo hace y se le solicita entregue esa información documentada / Lo anterior ya que rentaron 1700 vehículos por 2000 millones de pesos y las contralorías internas de finanzas y </w:t>
      </w:r>
      <w:proofErr w:type="spellStart"/>
      <w:r w:rsidR="006626EA" w:rsidRPr="004A4420">
        <w:rPr>
          <w:rFonts w:ascii="Palatino Linotype" w:hAnsi="Palatino Linotype"/>
          <w:i/>
          <w:sz w:val="22"/>
          <w:szCs w:val="14"/>
        </w:rPr>
        <w:t>ssp</w:t>
      </w:r>
      <w:proofErr w:type="spellEnd"/>
      <w:r w:rsidR="006626EA" w:rsidRPr="004A4420">
        <w:rPr>
          <w:rFonts w:ascii="Palatino Linotype" w:hAnsi="Palatino Linotype"/>
          <w:i/>
          <w:sz w:val="22"/>
          <w:szCs w:val="14"/>
        </w:rPr>
        <w:t xml:space="preserve"> no fueron para revisar y sancionar que las bases que estaban direccionadas a marcas de vehículos y equipo policial entre otros., </w:t>
      </w:r>
      <w:proofErr w:type="spellStart"/>
      <w:r w:rsidR="006626EA" w:rsidRPr="004A4420">
        <w:rPr>
          <w:rFonts w:ascii="Palatino Linotype" w:hAnsi="Palatino Linotype"/>
          <w:i/>
          <w:sz w:val="22"/>
          <w:szCs w:val="14"/>
        </w:rPr>
        <w:t>ademas</w:t>
      </w:r>
      <w:proofErr w:type="spellEnd"/>
      <w:r w:rsidR="006626EA" w:rsidRPr="004A4420">
        <w:rPr>
          <w:rFonts w:ascii="Palatino Linotype" w:hAnsi="Palatino Linotype"/>
          <w:i/>
          <w:sz w:val="22"/>
          <w:szCs w:val="14"/>
        </w:rPr>
        <w:t xml:space="preserve"> de candados y que trajeron como resultado que se rentaran entre otros 126 patrullas Dodge </w:t>
      </w:r>
      <w:proofErr w:type="spellStart"/>
      <w:r w:rsidR="006626EA" w:rsidRPr="004A4420">
        <w:rPr>
          <w:rFonts w:ascii="Palatino Linotype" w:hAnsi="Palatino Linotype"/>
          <w:i/>
          <w:sz w:val="22"/>
          <w:szCs w:val="14"/>
        </w:rPr>
        <w:t>Charger</w:t>
      </w:r>
      <w:proofErr w:type="spellEnd"/>
      <w:r w:rsidR="006626EA" w:rsidRPr="004A4420">
        <w:rPr>
          <w:rFonts w:ascii="Palatino Linotype" w:hAnsi="Palatino Linotype"/>
          <w:i/>
          <w:sz w:val="22"/>
          <w:szCs w:val="14"/>
        </w:rPr>
        <w:t xml:space="preserve"> en 2.3 millones de pesos cada una y una camioneta blindada jeep que vale en la agencia 1.7 millones de pesos, cuando la rentaron en 5 </w:t>
      </w:r>
      <w:proofErr w:type="spellStart"/>
      <w:r w:rsidR="006626EA" w:rsidRPr="004A4420">
        <w:rPr>
          <w:rFonts w:ascii="Palatino Linotype" w:hAnsi="Palatino Linotype"/>
          <w:i/>
          <w:sz w:val="22"/>
          <w:szCs w:val="14"/>
        </w:rPr>
        <w:t>asi</w:t>
      </w:r>
      <w:proofErr w:type="spellEnd"/>
      <w:r w:rsidR="006626EA" w:rsidRPr="004A4420">
        <w:rPr>
          <w:rFonts w:ascii="Palatino Linotype" w:hAnsi="Palatino Linotype"/>
          <w:i/>
          <w:sz w:val="22"/>
          <w:szCs w:val="14"/>
        </w:rPr>
        <w:t xml:space="preserve"> todos los demás vehículos rentados / Por lo que requiero quien, es el funcionario que la disfruta y por ende., se solicita todas las declaraciones patrimoniales de todos los contralores internos del estado, con su tres de tres y pago de impuestos, </w:t>
      </w:r>
      <w:proofErr w:type="spellStart"/>
      <w:r w:rsidR="006626EA" w:rsidRPr="004A4420">
        <w:rPr>
          <w:rFonts w:ascii="Palatino Linotype" w:hAnsi="Palatino Linotype"/>
          <w:i/>
          <w:sz w:val="22"/>
          <w:szCs w:val="14"/>
        </w:rPr>
        <w:t>asi</w:t>
      </w:r>
      <w:proofErr w:type="spellEnd"/>
      <w:r w:rsidR="006626EA" w:rsidRPr="004A4420">
        <w:rPr>
          <w:rFonts w:ascii="Palatino Linotype" w:hAnsi="Palatino Linotype"/>
          <w:i/>
          <w:sz w:val="22"/>
          <w:szCs w:val="14"/>
        </w:rPr>
        <w:t xml:space="preserve"> como las declaraciones, su tres de tres y de impuestos, de los tres cargos abajo de los titulares de todas las secretarias, gubernatura poder judicial y legislativo, </w:t>
      </w:r>
      <w:proofErr w:type="spellStart"/>
      <w:r w:rsidR="006626EA" w:rsidRPr="004A4420">
        <w:rPr>
          <w:rFonts w:ascii="Palatino Linotype" w:hAnsi="Palatino Linotype"/>
          <w:i/>
          <w:sz w:val="22"/>
          <w:szCs w:val="14"/>
        </w:rPr>
        <w:t>mas</w:t>
      </w:r>
      <w:proofErr w:type="spellEnd"/>
      <w:r w:rsidR="006626EA" w:rsidRPr="004A4420">
        <w:rPr>
          <w:rFonts w:ascii="Palatino Linotype" w:hAnsi="Palatino Linotype"/>
          <w:i/>
          <w:sz w:val="22"/>
          <w:szCs w:val="14"/>
        </w:rPr>
        <w:t xml:space="preserve"> los oficiales mayores o directores de administración / todo se pide se suba a su portal o al de la </w:t>
      </w:r>
      <w:proofErr w:type="spellStart"/>
      <w:r w:rsidR="006626EA" w:rsidRPr="004A4420">
        <w:rPr>
          <w:rFonts w:ascii="Palatino Linotype" w:hAnsi="Palatino Linotype"/>
          <w:i/>
          <w:sz w:val="22"/>
          <w:szCs w:val="14"/>
        </w:rPr>
        <w:t>contraloria</w:t>
      </w:r>
      <w:proofErr w:type="spellEnd"/>
      <w:r w:rsidR="006626EA" w:rsidRPr="004A4420">
        <w:rPr>
          <w:rFonts w:ascii="Palatino Linotype" w:hAnsi="Palatino Linotype"/>
          <w:i/>
          <w:sz w:val="22"/>
          <w:szCs w:val="14"/>
        </w:rPr>
        <w:t xml:space="preserve"> del estado, y que este muy visible / de todo se solicita la entrega por internet o en DVD / esto gracias a que su gobernador se comprometió a combatir la corrupción. pero unos de sus colaboradores, ya se robaron unos 1000 millones de pesos, en esta renta plagada de corrupción y omisión por parte de la </w:t>
      </w:r>
      <w:proofErr w:type="spellStart"/>
      <w:r w:rsidR="006626EA" w:rsidRPr="004A4420">
        <w:rPr>
          <w:rFonts w:ascii="Palatino Linotype" w:hAnsi="Palatino Linotype"/>
          <w:i/>
          <w:sz w:val="22"/>
          <w:szCs w:val="14"/>
        </w:rPr>
        <w:t>contraloria</w:t>
      </w:r>
      <w:proofErr w:type="spellEnd"/>
      <w:r w:rsidR="006626EA" w:rsidRPr="004A4420">
        <w:rPr>
          <w:rFonts w:ascii="Palatino Linotype" w:hAnsi="Palatino Linotype"/>
          <w:i/>
          <w:sz w:val="22"/>
          <w:szCs w:val="14"/>
        </w:rPr>
        <w:t xml:space="preserve"> y su fiscal anti corrupción, al que también se le solicita., la misma documentación e información en los mismos términos / ahora bien la ASF ya inicia </w:t>
      </w:r>
      <w:proofErr w:type="spellStart"/>
      <w:r w:rsidR="006626EA" w:rsidRPr="004A4420">
        <w:rPr>
          <w:rFonts w:ascii="Palatino Linotype" w:hAnsi="Palatino Linotype"/>
          <w:i/>
          <w:sz w:val="22"/>
          <w:szCs w:val="14"/>
        </w:rPr>
        <w:t>auditorias</w:t>
      </w:r>
      <w:proofErr w:type="spellEnd"/>
      <w:r w:rsidR="006626EA" w:rsidRPr="004A4420">
        <w:rPr>
          <w:rFonts w:ascii="Palatino Linotype" w:hAnsi="Palatino Linotype"/>
          <w:i/>
          <w:sz w:val="22"/>
          <w:szCs w:val="14"/>
        </w:rPr>
        <w:t xml:space="preserve"> al Estado de México / para su poder judicial y especialmente su poder legislativo, se le pide la misma información en su portal y en </w:t>
      </w:r>
      <w:proofErr w:type="spellStart"/>
      <w:r w:rsidR="006626EA" w:rsidRPr="004A4420">
        <w:rPr>
          <w:rFonts w:ascii="Palatino Linotype" w:hAnsi="Palatino Linotype"/>
          <w:i/>
          <w:sz w:val="22"/>
          <w:szCs w:val="14"/>
        </w:rPr>
        <w:t>dvd</w:t>
      </w:r>
      <w:proofErr w:type="spellEnd"/>
      <w:r w:rsidR="006626EA" w:rsidRPr="004A4420">
        <w:rPr>
          <w:rFonts w:ascii="Palatino Linotype" w:hAnsi="Palatino Linotype"/>
          <w:i/>
          <w:sz w:val="22"/>
          <w:szCs w:val="14"/>
        </w:rPr>
        <w:t xml:space="preserve">, Por no hacer nada al respecto especialmente los de Morena y otros que ya parecen estar como la legislatura pasada, la corrupción legalizada administrativamente y encubierta, por esos supuestos funcionarios, que se les paga para prevenir y sancionar la corrupción., pero solo cobran y </w:t>
      </w:r>
      <w:r w:rsidR="006626EA" w:rsidRPr="004A4420">
        <w:rPr>
          <w:rFonts w:ascii="Palatino Linotype" w:hAnsi="Palatino Linotype"/>
          <w:i/>
          <w:sz w:val="22"/>
          <w:szCs w:val="14"/>
        </w:rPr>
        <w:lastRenderedPageBreak/>
        <w:t xml:space="preserve">simulan / . .. </w:t>
      </w:r>
      <w:proofErr w:type="spellStart"/>
      <w:r w:rsidR="006626EA" w:rsidRPr="004A4420">
        <w:rPr>
          <w:rFonts w:ascii="Palatino Linotype" w:hAnsi="Palatino Linotype"/>
          <w:i/>
          <w:sz w:val="22"/>
          <w:szCs w:val="14"/>
        </w:rPr>
        <w:t>All</w:t>
      </w:r>
      <w:proofErr w:type="spellEnd"/>
      <w:r w:rsidR="006626EA" w:rsidRPr="004A4420">
        <w:rPr>
          <w:rFonts w:ascii="Palatino Linotype" w:hAnsi="Palatino Linotype"/>
          <w:i/>
          <w:sz w:val="22"/>
          <w:szCs w:val="14"/>
        </w:rPr>
        <w:t xml:space="preserve"> testigo social </w:t>
      </w:r>
      <w:proofErr w:type="spellStart"/>
      <w:r w:rsidR="00D135DE">
        <w:rPr>
          <w:rFonts w:ascii="Palatino Linotype" w:hAnsi="Palatino Linotype"/>
          <w:i/>
          <w:sz w:val="22"/>
          <w:szCs w:val="14"/>
        </w:rPr>
        <w:t>Xxxxxxxxx</w:t>
      </w:r>
      <w:proofErr w:type="spellEnd"/>
      <w:r w:rsidR="006626EA" w:rsidRPr="004A4420">
        <w:rPr>
          <w:rFonts w:ascii="Palatino Linotype" w:hAnsi="Palatino Linotype"/>
          <w:i/>
          <w:sz w:val="22"/>
          <w:szCs w:val="14"/>
        </w:rPr>
        <w:t xml:space="preserve"> </w:t>
      </w:r>
      <w:proofErr w:type="spellStart"/>
      <w:r w:rsidR="00D135DE">
        <w:rPr>
          <w:rFonts w:ascii="Palatino Linotype" w:hAnsi="Palatino Linotype"/>
          <w:i/>
          <w:sz w:val="22"/>
          <w:szCs w:val="14"/>
        </w:rPr>
        <w:t>xxxx</w:t>
      </w:r>
      <w:proofErr w:type="spellEnd"/>
      <w:r w:rsidR="006626EA" w:rsidRPr="004A4420">
        <w:rPr>
          <w:rFonts w:ascii="Palatino Linotype" w:hAnsi="Palatino Linotype"/>
          <w:i/>
          <w:sz w:val="22"/>
          <w:szCs w:val="14"/>
        </w:rPr>
        <w:t xml:space="preserve"> </w:t>
      </w:r>
      <w:proofErr w:type="spellStart"/>
      <w:r w:rsidR="00D135DE">
        <w:rPr>
          <w:rFonts w:ascii="Palatino Linotype" w:hAnsi="Palatino Linotype"/>
          <w:i/>
          <w:sz w:val="22"/>
          <w:szCs w:val="14"/>
        </w:rPr>
        <w:t>xxxxxxx</w:t>
      </w:r>
      <w:proofErr w:type="spellEnd"/>
      <w:r w:rsidR="006626EA" w:rsidRPr="004A4420">
        <w:rPr>
          <w:rFonts w:ascii="Palatino Linotype" w:hAnsi="Palatino Linotype"/>
          <w:i/>
          <w:sz w:val="22"/>
          <w:szCs w:val="14"/>
        </w:rPr>
        <w:t xml:space="preserve"> </w:t>
      </w:r>
      <w:proofErr w:type="spellStart"/>
      <w:r w:rsidR="00D135DE">
        <w:rPr>
          <w:rFonts w:ascii="Palatino Linotype" w:hAnsi="Palatino Linotype"/>
          <w:i/>
          <w:sz w:val="22"/>
          <w:szCs w:val="14"/>
        </w:rPr>
        <w:t>xxxxxxx</w:t>
      </w:r>
      <w:proofErr w:type="spellEnd"/>
      <w:r w:rsidR="006626EA" w:rsidRPr="004A4420">
        <w:rPr>
          <w:rFonts w:ascii="Palatino Linotype" w:hAnsi="Palatino Linotype"/>
          <w:i/>
          <w:sz w:val="22"/>
          <w:szCs w:val="14"/>
        </w:rPr>
        <w:t xml:space="preserve"> que atendió la licitación de arrendamiento, se le solicitan los documentos soporte de su informe, rendido al contralor del estado, funcionarios del secretario de finanzas y ojo al oficial mayor de SSP, ya que </w:t>
      </w:r>
      <w:proofErr w:type="spellStart"/>
      <w:r w:rsidR="006626EA" w:rsidRPr="004A4420">
        <w:rPr>
          <w:rFonts w:ascii="Palatino Linotype" w:hAnsi="Palatino Linotype"/>
          <w:i/>
          <w:sz w:val="22"/>
          <w:szCs w:val="14"/>
        </w:rPr>
        <w:t>el</w:t>
      </w:r>
      <w:proofErr w:type="spellEnd"/>
      <w:r w:rsidR="006626EA" w:rsidRPr="004A4420">
        <w:rPr>
          <w:rFonts w:ascii="Palatino Linotype" w:hAnsi="Palatino Linotype"/>
          <w:i/>
          <w:sz w:val="22"/>
          <w:szCs w:val="14"/>
        </w:rPr>
        <w:t xml:space="preserve"> informó que todo se hizo en apego a la ley, transparencia y con honestidad / y con un testigo social como ese., se les solicita su contrato y los montos recibidos como salario, por su espectacular informe o informes en otras licitaciones, que solo traicionan a México y en su momento veremos si la nueva PGR intervendrá y el congreso de la </w:t>
      </w:r>
      <w:proofErr w:type="spellStart"/>
      <w:r w:rsidR="006626EA" w:rsidRPr="004A4420">
        <w:rPr>
          <w:rFonts w:ascii="Palatino Linotype" w:hAnsi="Palatino Linotype"/>
          <w:i/>
          <w:sz w:val="22"/>
          <w:szCs w:val="14"/>
        </w:rPr>
        <w:t>union</w:t>
      </w:r>
      <w:proofErr w:type="spellEnd"/>
      <w:r w:rsidR="006626EA" w:rsidRPr="004A4420">
        <w:rPr>
          <w:rFonts w:ascii="Palatino Linotype" w:hAnsi="Palatino Linotype"/>
          <w:i/>
          <w:sz w:val="22"/>
          <w:szCs w:val="14"/>
        </w:rPr>
        <w:t xml:space="preserve"> en proceso ya ...</w:t>
      </w:r>
      <w:r w:rsidR="006626EA" w:rsidRPr="008057A7">
        <w:rPr>
          <w:rFonts w:ascii="Palatino Linotype" w:hAnsi="Palatino Linotype"/>
          <w:i/>
          <w:sz w:val="22"/>
          <w:szCs w:val="14"/>
        </w:rPr>
        <w:t>” (Sic)</w:t>
      </w:r>
    </w:p>
    <w:p w:rsidR="003C0C0D" w:rsidRDefault="003C0C0D" w:rsidP="00041A8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de señalar que, </w:t>
      </w:r>
      <w:r w:rsidRPr="00B57FE6">
        <w:rPr>
          <w:rFonts w:ascii="Palatino Linotype" w:hAnsi="Palatino Linotype" w:cs="Arial"/>
          <w:b/>
        </w:rPr>
        <w:t>EL SUJETO OBLIGADO</w:t>
      </w:r>
      <w:r>
        <w:rPr>
          <w:rFonts w:ascii="Palatino Linotype" w:hAnsi="Palatino Linotype" w:cs="Arial"/>
        </w:rPr>
        <w:t xml:space="preserve"> fue omiso en dar respuesta a la solicitud de información planteada.</w:t>
      </w:r>
    </w:p>
    <w:p w:rsidR="003C0C0D" w:rsidRPr="003F31AA" w:rsidRDefault="003C0C0D" w:rsidP="00041A81">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rPr>
        <w:t xml:space="preserve">Bajo ese tenor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ORDENAR </w:t>
      </w:r>
      <w:r>
        <w:rPr>
          <w:rFonts w:ascii="Palatino Linotype" w:hAnsi="Palatino Linotype" w:cs="Arial"/>
        </w:rPr>
        <w:t xml:space="preserve">al </w:t>
      </w:r>
      <w:r w:rsidRPr="006879A6">
        <w:rPr>
          <w:rFonts w:ascii="Palatino Linotype" w:hAnsi="Palatino Linotype" w:cs="Arial"/>
          <w:b/>
        </w:rPr>
        <w:t xml:space="preserve">SUJETO OBLIGADO </w:t>
      </w:r>
      <w:r>
        <w:rPr>
          <w:rFonts w:ascii="Palatino Linotype" w:hAnsi="Palatino Linotype" w:cs="Arial"/>
        </w:rPr>
        <w:t>dar atenció</w:t>
      </w:r>
      <w:r w:rsidR="002E26C9">
        <w:rPr>
          <w:rFonts w:ascii="Palatino Linotype" w:hAnsi="Palatino Linotype" w:cs="Arial"/>
        </w:rPr>
        <w:t>n a la solicitud de información</w:t>
      </w:r>
      <w:r>
        <w:rPr>
          <w:rFonts w:ascii="Palatino Linotype" w:hAnsi="Palatino Linotype" w:cs="Arial"/>
        </w:rPr>
        <w:t xml:space="preserve"> número </w:t>
      </w:r>
      <w:r w:rsidR="003F31AA">
        <w:rPr>
          <w:rFonts w:ascii="Palatino Linotype" w:eastAsia="Calibri" w:hAnsi="Palatino Linotype" w:cs="Arial"/>
          <w:b/>
        </w:rPr>
        <w:t>00011</w:t>
      </w:r>
      <w:r w:rsidR="00170EC4">
        <w:rPr>
          <w:rFonts w:ascii="Palatino Linotype" w:eastAsia="Calibri" w:hAnsi="Palatino Linotype" w:cs="Arial"/>
          <w:b/>
        </w:rPr>
        <w:t>/</w:t>
      </w:r>
      <w:r w:rsidR="003F31AA">
        <w:rPr>
          <w:rFonts w:ascii="Palatino Linotype" w:eastAsia="Calibri" w:hAnsi="Palatino Linotype" w:cs="Arial"/>
          <w:b/>
        </w:rPr>
        <w:t>SUMAEM</w:t>
      </w:r>
      <w:r w:rsidR="00326C24">
        <w:rPr>
          <w:rFonts w:ascii="Palatino Linotype" w:eastAsia="Calibri" w:hAnsi="Palatino Linotype" w:cs="Arial"/>
          <w:b/>
        </w:rPr>
        <w:t>/IP/2018</w:t>
      </w:r>
      <w:r w:rsidRPr="00B8063F">
        <w:rPr>
          <w:rFonts w:ascii="Palatino Linotype" w:eastAsia="Calibri" w:hAnsi="Palatino Linotype" w:cs="Arial"/>
          <w:b/>
        </w:rPr>
        <w:t xml:space="preserve"> </w:t>
      </w:r>
      <w:r>
        <w:rPr>
          <w:rFonts w:ascii="Palatino Linotype" w:eastAsia="Calibri" w:hAnsi="Palatino Linotype" w:cs="Arial"/>
        </w:rPr>
        <w:t xml:space="preserve">y </w:t>
      </w:r>
      <w:r w:rsidRPr="005B09F1">
        <w:rPr>
          <w:rFonts w:ascii="Palatino Linotype" w:eastAsia="Calibri" w:hAnsi="Palatino Linotype" w:cs="Arial"/>
        </w:rPr>
        <w:t xml:space="preserve">en </w:t>
      </w:r>
      <w:r w:rsidRPr="00816A88">
        <w:rPr>
          <w:rFonts w:ascii="Palatino Linotype" w:eastAsia="Calibri" w:hAnsi="Palatino Linotype" w:cs="Arial"/>
        </w:rPr>
        <w:t xml:space="preserve">su caso, entregar la información </w:t>
      </w:r>
      <w:r w:rsidR="003F31AA">
        <w:rPr>
          <w:rFonts w:ascii="Palatino Linotype" w:eastAsia="Calibri" w:hAnsi="Palatino Linotype" w:cs="Arial"/>
        </w:rPr>
        <w:t>a través del</w:t>
      </w:r>
      <w:r>
        <w:rPr>
          <w:rFonts w:ascii="Palatino Linotype" w:eastAsia="Calibri" w:hAnsi="Palatino Linotype" w:cs="Arial"/>
        </w:rPr>
        <w:t xml:space="preserve"> </w:t>
      </w:r>
      <w:r w:rsidRPr="00AD23F0">
        <w:rPr>
          <w:rFonts w:ascii="Palatino Linotype" w:eastAsia="MS Mincho" w:hAnsi="Palatino Linotype"/>
          <w:color w:val="000000" w:themeColor="text1"/>
        </w:rPr>
        <w:t xml:space="preserve">Sistema de Acceso a la Información Mexiquense </w:t>
      </w:r>
      <w:r w:rsidRPr="00AD23F0">
        <w:rPr>
          <w:rFonts w:ascii="Palatino Linotype" w:eastAsia="MS Mincho" w:hAnsi="Palatino Linotype"/>
          <w:b/>
          <w:color w:val="000000" w:themeColor="text1"/>
        </w:rPr>
        <w:t>(SAIMEX</w:t>
      </w:r>
      <w:r>
        <w:rPr>
          <w:rFonts w:ascii="Palatino Linotype" w:eastAsia="MS Mincho" w:hAnsi="Palatino Linotype"/>
          <w:b/>
          <w:color w:val="000000" w:themeColor="text1"/>
        </w:rPr>
        <w:t>)</w:t>
      </w:r>
      <w:r w:rsidR="003F31AA">
        <w:rPr>
          <w:rFonts w:ascii="Palatino Linotype" w:eastAsia="MS Mincho" w:hAnsi="Palatino Linotype"/>
          <w:color w:val="000000" w:themeColor="text1"/>
        </w:rPr>
        <w:t xml:space="preserve">, de ser procedente en versión pública. </w:t>
      </w:r>
    </w:p>
    <w:p w:rsidR="003C0C0D" w:rsidRDefault="003C0C0D" w:rsidP="00041A81">
      <w:pPr>
        <w:spacing w:before="100" w:beforeAutospacing="1" w:after="100" w:afterAutospacing="1" w:line="360" w:lineRule="auto"/>
        <w:jc w:val="both"/>
        <w:rPr>
          <w:rFonts w:ascii="Palatino Linotype" w:hAnsi="Palatino Linotype" w:cs="Arial"/>
          <w:lang w:val="es-MX"/>
        </w:rPr>
      </w:pPr>
      <w:r w:rsidRPr="001D3F57">
        <w:rPr>
          <w:rFonts w:ascii="Palatino Linotype" w:hAnsi="Palatino Linotype" w:cs="Arial"/>
          <w:lang w:val="es-MX"/>
        </w:rPr>
        <w:t>En ese sentido, la que suscribe reitera, que si bien coincid</w:t>
      </w:r>
      <w:r>
        <w:rPr>
          <w:rFonts w:ascii="Palatino Linotype" w:hAnsi="Palatino Linotype" w:cs="Arial"/>
          <w:lang w:val="es-MX"/>
        </w:rPr>
        <w:t>o</w:t>
      </w:r>
      <w:r w:rsidRPr="001D3F57">
        <w:rPr>
          <w:rFonts w:ascii="Palatino Linotype" w:hAnsi="Palatino Linotype" w:cs="Arial"/>
          <w:lang w:val="es-MX"/>
        </w:rPr>
        <w:t xml:space="preserve"> </w:t>
      </w:r>
      <w:r>
        <w:rPr>
          <w:rFonts w:ascii="Palatino Linotype" w:hAnsi="Palatino Linotype" w:cs="Arial"/>
          <w:lang w:val="es-MX"/>
        </w:rPr>
        <w:t xml:space="preserve">con el </w:t>
      </w:r>
      <w:r>
        <w:rPr>
          <w:rFonts w:ascii="Palatino Linotype" w:hAnsi="Palatino Linotype"/>
        </w:rPr>
        <w:t xml:space="preserve">sentido de la resolución del </w:t>
      </w:r>
      <w:r w:rsidRPr="00D93A88">
        <w:rPr>
          <w:rFonts w:ascii="Palatino Linotype" w:hAnsi="Palatino Linotype"/>
        </w:rPr>
        <w:t>recurso de revis</w:t>
      </w:r>
      <w:r>
        <w:rPr>
          <w:rFonts w:ascii="Palatino Linotype" w:hAnsi="Palatino Linotype"/>
        </w:rPr>
        <w:t>ión;</w:t>
      </w:r>
      <w:r w:rsidRPr="001D3F57">
        <w:rPr>
          <w:rFonts w:ascii="Palatino Linotype" w:hAnsi="Palatino Linotype" w:cs="Arial"/>
          <w:lang w:val="es-MX"/>
        </w:rPr>
        <w:t xml:space="preserve"> dif</w:t>
      </w:r>
      <w:r>
        <w:rPr>
          <w:rFonts w:ascii="Palatino Linotype" w:hAnsi="Palatino Linotype" w:cs="Arial"/>
          <w:lang w:val="es-MX"/>
        </w:rPr>
        <w:t>iero</w:t>
      </w:r>
      <w:r w:rsidRPr="001D3F57">
        <w:rPr>
          <w:rFonts w:ascii="Palatino Linotype" w:hAnsi="Palatino Linotype" w:cs="Arial"/>
          <w:lang w:val="es-MX"/>
        </w:rPr>
        <w:t xml:space="preserve"> respecto al hecho de </w:t>
      </w:r>
      <w:r>
        <w:rPr>
          <w:rFonts w:ascii="Palatino Linotype" w:hAnsi="Palatino Linotype" w:cs="Arial"/>
          <w:lang w:val="es-MX"/>
        </w:rPr>
        <w:t xml:space="preserve">ordenar se atienda la solicitud de información sin especificar, en el resolutivo correspondiente, la información que </w:t>
      </w:r>
      <w:r w:rsidR="009228DA">
        <w:rPr>
          <w:rFonts w:ascii="Palatino Linotype" w:hAnsi="Palatino Linotype" w:cs="Arial"/>
          <w:lang w:val="es-MX"/>
        </w:rPr>
        <w:t xml:space="preserve">deberá hacer </w:t>
      </w:r>
      <w:r>
        <w:rPr>
          <w:rFonts w:ascii="Palatino Linotype" w:hAnsi="Palatino Linotype" w:cs="Arial"/>
          <w:lang w:val="es-MX"/>
        </w:rPr>
        <w:t xml:space="preserve">entrega </w:t>
      </w:r>
      <w:r>
        <w:rPr>
          <w:rFonts w:ascii="Palatino Linotype" w:hAnsi="Palatino Linotype" w:cs="Arial"/>
          <w:b/>
          <w:lang w:val="es-MX"/>
        </w:rPr>
        <w:t>EL SUJETO OBLIGADO</w:t>
      </w:r>
      <w:r>
        <w:rPr>
          <w:rFonts w:ascii="Palatino Linotype" w:hAnsi="Palatino Linotype" w:cs="Arial"/>
          <w:lang w:val="es-MX"/>
        </w:rPr>
        <w:t>; así como que</w:t>
      </w:r>
      <w:r w:rsidR="000F3E2E">
        <w:rPr>
          <w:rFonts w:ascii="Palatino Linotype" w:hAnsi="Palatino Linotype" w:cs="Arial"/>
          <w:lang w:val="es-MX"/>
        </w:rPr>
        <w:t>,</w:t>
      </w:r>
      <w:r>
        <w:rPr>
          <w:rFonts w:ascii="Palatino Linotype" w:hAnsi="Palatino Linotype" w:cs="Arial"/>
          <w:lang w:val="es-MX"/>
        </w:rPr>
        <w:t xml:space="preserve">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omita dentro del estudio realizar el análisis de la naturaleza jurídica de </w:t>
      </w:r>
      <w:r w:rsidR="003F31AA">
        <w:rPr>
          <w:rFonts w:ascii="Palatino Linotype" w:hAnsi="Palatino Linotype" w:cs="Arial"/>
          <w:lang w:val="es-MX"/>
        </w:rPr>
        <w:t>la información;</w:t>
      </w:r>
      <w:r>
        <w:rPr>
          <w:rFonts w:ascii="Palatino Linotype" w:hAnsi="Palatino Linotype" w:cs="Arial"/>
          <w:lang w:val="es-MX"/>
        </w:rPr>
        <w:t xml:space="preserve"> es decir, si </w:t>
      </w:r>
      <w:r>
        <w:rPr>
          <w:rFonts w:ascii="Palatino Linotype" w:hAnsi="Palatino Linotype" w:cs="Arial"/>
          <w:b/>
          <w:lang w:val="es-MX"/>
        </w:rPr>
        <w:t xml:space="preserve">EL SUJETO OBLIGADO </w:t>
      </w:r>
      <w:r>
        <w:rPr>
          <w:rFonts w:ascii="Palatino Linotype" w:hAnsi="Palatino Linotype" w:cs="Arial"/>
          <w:lang w:val="es-MX"/>
        </w:rPr>
        <w:t xml:space="preserve">genera, posee o administra la información </w:t>
      </w:r>
      <w:r w:rsidR="00170EC4">
        <w:rPr>
          <w:rFonts w:ascii="Palatino Linotype" w:hAnsi="Palatino Linotype" w:cs="Arial"/>
          <w:lang w:val="es-MX"/>
        </w:rPr>
        <w:t>solicitada</w:t>
      </w:r>
      <w:r w:rsidR="000F3E2E">
        <w:rPr>
          <w:rFonts w:ascii="Palatino Linotype" w:hAnsi="Palatino Linotype" w:cs="Arial"/>
          <w:lang w:val="es-MX"/>
        </w:rPr>
        <w:t xml:space="preserve"> conforme a sus atribuciones conferidas.</w:t>
      </w:r>
    </w:p>
    <w:p w:rsidR="003C0C0D" w:rsidRPr="00724E92" w:rsidRDefault="003C0C0D" w:rsidP="00041A81">
      <w:pPr>
        <w:spacing w:before="100" w:beforeAutospacing="1" w:after="100" w:afterAutospacing="1" w:line="360" w:lineRule="auto"/>
        <w:jc w:val="both"/>
        <w:rPr>
          <w:rFonts w:ascii="Palatino Linotype" w:hAnsi="Palatino Linotype"/>
        </w:rPr>
      </w:pPr>
      <w:r w:rsidRPr="001D3F57">
        <w:rPr>
          <w:rFonts w:ascii="Palatino Linotype" w:hAnsi="Palatino Linotype" w:cs="Arial"/>
          <w:lang w:val="es-MX"/>
        </w:rPr>
        <w:lastRenderedPageBreak/>
        <w:t>Lo a</w:t>
      </w:r>
      <w:r>
        <w:rPr>
          <w:rFonts w:ascii="Palatino Linotype" w:hAnsi="Palatino Linotype" w:cs="Arial"/>
          <w:lang w:val="es-MX"/>
        </w:rPr>
        <w:t>nterior es así, en razón de que</w:t>
      </w:r>
      <w:r w:rsidRPr="001D3F57">
        <w:rPr>
          <w:rFonts w:ascii="Palatino Linotype" w:hAnsi="Palatino Linotype" w:cs="Arial"/>
          <w:lang w:val="es-MX"/>
        </w:rPr>
        <w:t xml:space="preserve"> </w:t>
      </w:r>
      <w:r>
        <w:rPr>
          <w:rFonts w:ascii="Palatino Linotype" w:hAnsi="Palatino Linotype" w:cs="Arial"/>
          <w:lang w:val="es-MX"/>
        </w:rPr>
        <w:t xml:space="preserve">la </w:t>
      </w:r>
      <w:r>
        <w:rPr>
          <w:rFonts w:ascii="Palatino Linotype" w:hAnsi="Palatino Linotype"/>
        </w:rPr>
        <w:t xml:space="preserve">Ponencia </w:t>
      </w:r>
      <w:proofErr w:type="spellStart"/>
      <w:r>
        <w:rPr>
          <w:rFonts w:ascii="Palatino Linotype" w:hAnsi="Palatino Linotype"/>
        </w:rPr>
        <w:t>Resolutora</w:t>
      </w:r>
      <w:proofErr w:type="spellEnd"/>
      <w:r>
        <w:rPr>
          <w:rFonts w:ascii="Palatino Linotype" w:hAnsi="Palatino Linotype"/>
        </w:rPr>
        <w:t xml:space="preserve"> justificó la determinación de no analizar la naturaleza jurídica de la información en razón del silencio administrativo (Negativa Ficta) en que incurrió </w:t>
      </w:r>
      <w:r>
        <w:rPr>
          <w:rFonts w:ascii="Palatino Linotype" w:hAnsi="Palatino Linotype"/>
          <w:b/>
        </w:rPr>
        <w:t xml:space="preserve">EL SUJETO OBLIGADO, </w:t>
      </w:r>
      <w:r>
        <w:rPr>
          <w:rFonts w:ascii="Palatino Linotype" w:hAnsi="Palatino Linotype"/>
        </w:rPr>
        <w:t xml:space="preserve">pues, el recurso de revisión no es la vía para ordenar se reponga el procedimiento, aunado a que no es una facultad conferida a este Instituto de conformidad con el ordinal 36 de la Ley de la materia; </w:t>
      </w:r>
      <w:r>
        <w:rPr>
          <w:rFonts w:ascii="Palatino Linotype" w:hAnsi="Palatino Linotype" w:cs="Arial"/>
          <w:lang w:val="es-MX"/>
        </w:rPr>
        <w:t xml:space="preserve">sin embargo, a criterio de la suscrita se debe analizar si </w:t>
      </w:r>
      <w:r>
        <w:rPr>
          <w:rFonts w:ascii="Palatino Linotype" w:hAnsi="Palatino Linotype" w:cs="Arial"/>
          <w:b/>
          <w:lang w:val="es-MX"/>
        </w:rPr>
        <w:t xml:space="preserve">EL SUJETO OBLIGADO </w:t>
      </w:r>
      <w:r>
        <w:rPr>
          <w:rFonts w:ascii="Palatino Linotype" w:hAnsi="Palatino Linotype" w:cs="Arial"/>
          <w:lang w:val="es-MX"/>
        </w:rPr>
        <w:t xml:space="preserve">es la autoridad competente para conocer sobre el asunto en comento, </w:t>
      </w:r>
      <w:r w:rsidRPr="00325B73">
        <w:rPr>
          <w:rFonts w:ascii="Palatino Linotype" w:hAnsi="Palatino Linotype" w:cs="Arial"/>
        </w:rPr>
        <w:t>es decir, si se trata de información que deba generar, administrar o poseer, en virtud del ámbito de sus atribuciones, funciones, facultades o competencias, y si la misma es susceptible de ser entregada al particular.</w:t>
      </w:r>
    </w:p>
    <w:p w:rsidR="003C0C0D" w:rsidRDefault="003C0C0D" w:rsidP="00041A81">
      <w:pPr>
        <w:spacing w:before="100" w:beforeAutospacing="1" w:after="100" w:afterAutospacing="1" w:line="360" w:lineRule="auto"/>
        <w:jc w:val="both"/>
        <w:rPr>
          <w:rFonts w:ascii="Palatino Linotype" w:hAnsi="Palatino Linotype" w:cs="Arial"/>
          <w:color w:val="222222"/>
        </w:rPr>
      </w:pPr>
      <w:r>
        <w:rPr>
          <w:rFonts w:ascii="Palatino Linotype" w:hAnsi="Palatino Linotype" w:cs="Arial"/>
          <w:color w:val="222222"/>
        </w:rPr>
        <w:t xml:space="preserve">Esto es así, con la finalidad de que este Instituto pueda garantizar el derecho de acceso a la información pública tal como lo </w:t>
      </w:r>
      <w:r w:rsidRPr="00325B73">
        <w:rPr>
          <w:rFonts w:ascii="Palatino Linotype" w:hAnsi="Palatino Linotype" w:cs="Arial"/>
          <w:color w:val="222222"/>
        </w:rPr>
        <w:t>refieren los artículos 6, Apartado A de la Constitución Política de los Estados Unidos Mexicanos; y 5, párrafos vigésimo, vigésimo primero y vigésimo segundo, fracciones I, II, III, IV, V, VI y VII de la Constitución Política del Estado Libre y Soberano de México</w:t>
      </w:r>
      <w:r>
        <w:rPr>
          <w:rFonts w:ascii="Palatino Linotype" w:hAnsi="Palatino Linotype" w:cs="Arial"/>
          <w:color w:val="222222"/>
        </w:rPr>
        <w:t>.</w:t>
      </w:r>
    </w:p>
    <w:p w:rsidR="003C0C0D" w:rsidRPr="00450550" w:rsidRDefault="003C0C0D" w:rsidP="00041A81">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Lo que en consecuencia permite se dé cumplimiento a lo que establecen los </w:t>
      </w:r>
      <w:r w:rsidRPr="00325B73">
        <w:rPr>
          <w:rFonts w:ascii="Palatino Linotype" w:hAnsi="Palatino Linotype" w:cs="Arial"/>
          <w:color w:val="000000" w:themeColor="text1"/>
        </w:rPr>
        <w:t>artículos 2, fracción II, 3, fracción XI y 12 de la Ley de Transparencia y Acceso a la Información Pública del Estado de</w:t>
      </w:r>
      <w:r>
        <w:rPr>
          <w:rFonts w:ascii="Palatino Linotype" w:hAnsi="Palatino Linotype" w:cs="Arial"/>
          <w:color w:val="000000" w:themeColor="text1"/>
        </w:rPr>
        <w:t xml:space="preserve"> México y Municipios, que señalan</w:t>
      </w:r>
      <w:r w:rsidRPr="00325B73">
        <w:rPr>
          <w:rFonts w:ascii="Palatino Linotype" w:hAnsi="Palatino Linotype" w:cs="Arial"/>
          <w:color w:val="000000" w:themeColor="text1"/>
        </w:rPr>
        <w:t xml:space="preserve">: </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i/>
          <w:color w:val="000000" w:themeColor="text1"/>
          <w:sz w:val="22"/>
          <w:szCs w:val="20"/>
        </w:rPr>
        <w:t>“</w:t>
      </w:r>
      <w:r w:rsidRPr="00041A81">
        <w:rPr>
          <w:rFonts w:ascii="Palatino Linotype" w:hAnsi="Palatino Linotype" w:cs="Arial"/>
          <w:b/>
          <w:i/>
          <w:color w:val="000000" w:themeColor="text1"/>
          <w:sz w:val="22"/>
          <w:szCs w:val="20"/>
        </w:rPr>
        <w:t>Artículo 2.-</w:t>
      </w:r>
      <w:r w:rsidRPr="00041A81">
        <w:rPr>
          <w:rFonts w:ascii="Palatino Linotype" w:hAnsi="Palatino Linotype" w:cs="Arial"/>
          <w:i/>
          <w:color w:val="000000" w:themeColor="text1"/>
          <w:sz w:val="22"/>
          <w:szCs w:val="20"/>
        </w:rPr>
        <w:t xml:space="preserve"> </w:t>
      </w:r>
      <w:r w:rsidRPr="00041A81">
        <w:rPr>
          <w:rFonts w:ascii="Palatino Linotype" w:hAnsi="Palatino Linotype" w:cs="Arial"/>
          <w:i/>
          <w:sz w:val="22"/>
          <w:szCs w:val="20"/>
        </w:rPr>
        <w:t>Son objetivos de esta Ley:</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i/>
          <w:color w:val="000000" w:themeColor="text1"/>
          <w:sz w:val="22"/>
          <w:szCs w:val="20"/>
        </w:rPr>
        <w:t>(…)</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i/>
          <w:color w:val="000000" w:themeColor="text1"/>
          <w:sz w:val="22"/>
          <w:szCs w:val="20"/>
        </w:rPr>
        <w:t xml:space="preserve">II. </w:t>
      </w:r>
      <w:r w:rsidRPr="00041A81">
        <w:rPr>
          <w:rFonts w:ascii="Palatino Linotype" w:hAnsi="Palatino Linotype" w:cs="Arial"/>
          <w:b/>
          <w:i/>
          <w:sz w:val="22"/>
          <w:szCs w:val="20"/>
        </w:rPr>
        <w:t>Proveer lo necesario para garantizar a toda persona el derecho de acceso a la información pública,</w:t>
      </w:r>
      <w:r w:rsidRPr="00041A81">
        <w:rPr>
          <w:rFonts w:ascii="Palatino Linotype" w:hAnsi="Palatino Linotype" w:cs="Arial"/>
          <w:i/>
          <w:sz w:val="22"/>
          <w:szCs w:val="20"/>
        </w:rPr>
        <w:t xml:space="preserve"> a través de procedimientos sencillos, expeditos, oportunos y gratuitos, determinando las bases mínimas sobre las cuales se regirán los mismos</w:t>
      </w:r>
      <w:r w:rsidRPr="00041A81">
        <w:rPr>
          <w:rFonts w:ascii="Palatino Linotype" w:hAnsi="Palatino Linotype" w:cs="Arial"/>
          <w:i/>
          <w:color w:val="000000" w:themeColor="text1"/>
          <w:sz w:val="22"/>
          <w:szCs w:val="20"/>
        </w:rPr>
        <w:t>;</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i/>
          <w:color w:val="000000" w:themeColor="text1"/>
          <w:sz w:val="22"/>
          <w:szCs w:val="20"/>
        </w:rPr>
        <w:lastRenderedPageBreak/>
        <w:t>(…)</w:t>
      </w:r>
    </w:p>
    <w:p w:rsidR="003C0C0D" w:rsidRPr="00041A81" w:rsidRDefault="003C0C0D" w:rsidP="00041A81">
      <w:pPr>
        <w:ind w:left="567" w:right="618"/>
        <w:contextualSpacing/>
        <w:jc w:val="both"/>
        <w:rPr>
          <w:rFonts w:ascii="Palatino Linotype" w:hAnsi="Palatino Linotype" w:cs="Arial"/>
          <w:i/>
          <w:sz w:val="22"/>
          <w:szCs w:val="20"/>
        </w:rPr>
      </w:pPr>
      <w:r w:rsidRPr="00041A81">
        <w:rPr>
          <w:rFonts w:ascii="Palatino Linotype" w:hAnsi="Palatino Linotype" w:cs="Arial"/>
          <w:b/>
          <w:i/>
          <w:color w:val="000000" w:themeColor="text1"/>
          <w:sz w:val="22"/>
          <w:szCs w:val="20"/>
        </w:rPr>
        <w:t>Artículo 3.-</w:t>
      </w:r>
      <w:r w:rsidRPr="00041A81">
        <w:rPr>
          <w:rFonts w:ascii="Palatino Linotype" w:hAnsi="Palatino Linotype" w:cs="Arial"/>
          <w:i/>
          <w:color w:val="000000" w:themeColor="text1"/>
          <w:sz w:val="22"/>
          <w:szCs w:val="20"/>
        </w:rPr>
        <w:t xml:space="preserve"> </w:t>
      </w:r>
      <w:r w:rsidRPr="00041A81">
        <w:rPr>
          <w:rFonts w:ascii="Palatino Linotype" w:hAnsi="Palatino Linotype" w:cs="Arial"/>
          <w:i/>
          <w:sz w:val="22"/>
          <w:szCs w:val="20"/>
        </w:rPr>
        <w:t>Para los efectos de la presente Ley se entenderá por:</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i/>
          <w:color w:val="000000" w:themeColor="text1"/>
          <w:sz w:val="22"/>
          <w:szCs w:val="20"/>
        </w:rPr>
        <w:t>(…)</w:t>
      </w:r>
    </w:p>
    <w:p w:rsidR="003C0C0D" w:rsidRPr="00041A81" w:rsidRDefault="003C0C0D" w:rsidP="00041A81">
      <w:pPr>
        <w:ind w:left="567" w:right="618"/>
        <w:contextualSpacing/>
        <w:jc w:val="both"/>
        <w:rPr>
          <w:rFonts w:ascii="Palatino Linotype" w:hAnsi="Palatino Linotype" w:cs="Arial"/>
          <w:i/>
          <w:sz w:val="22"/>
          <w:szCs w:val="20"/>
        </w:rPr>
      </w:pPr>
      <w:r w:rsidRPr="00041A81">
        <w:rPr>
          <w:rFonts w:ascii="Palatino Linotype" w:hAnsi="Palatino Linotype" w:cs="Arial"/>
          <w:i/>
          <w:color w:val="000000" w:themeColor="text1"/>
          <w:sz w:val="22"/>
          <w:szCs w:val="20"/>
        </w:rPr>
        <w:t xml:space="preserve">XI. </w:t>
      </w:r>
      <w:r w:rsidRPr="00041A81">
        <w:rPr>
          <w:rFonts w:ascii="Palatino Linotype" w:hAnsi="Palatino Linotype" w:cs="Arial"/>
          <w:b/>
          <w:bCs/>
          <w:i/>
          <w:sz w:val="22"/>
          <w:szCs w:val="20"/>
        </w:rPr>
        <w:t xml:space="preserve">Documento: </w:t>
      </w:r>
      <w:r w:rsidRPr="00041A81">
        <w:rPr>
          <w:rFonts w:ascii="Palatino Linotype" w:hAnsi="Palatino Linotype" w:cs="Arial"/>
          <w:i/>
          <w:sz w:val="22"/>
          <w:szCs w:val="20"/>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p>
    <w:p w:rsidR="003C0C0D" w:rsidRPr="00041A81" w:rsidRDefault="003C0C0D" w:rsidP="00041A81">
      <w:pPr>
        <w:ind w:left="567" w:right="618"/>
        <w:contextualSpacing/>
        <w:jc w:val="both"/>
        <w:rPr>
          <w:rFonts w:ascii="Palatino Linotype" w:hAnsi="Palatino Linotype" w:cs="Arial"/>
          <w:i/>
          <w:color w:val="000000" w:themeColor="text1"/>
          <w:sz w:val="22"/>
          <w:szCs w:val="20"/>
        </w:rPr>
      </w:pPr>
      <w:r w:rsidRPr="00041A81">
        <w:rPr>
          <w:rFonts w:ascii="Palatino Linotype" w:hAnsi="Palatino Linotype" w:cs="Arial"/>
          <w:b/>
          <w:i/>
          <w:color w:val="000000" w:themeColor="text1"/>
          <w:sz w:val="22"/>
          <w:szCs w:val="20"/>
        </w:rPr>
        <w:t>Artículo 12.-</w:t>
      </w:r>
      <w:r w:rsidRPr="00041A81">
        <w:rPr>
          <w:rFonts w:ascii="Palatino Linotype" w:hAnsi="Palatino Linotype" w:cs="Arial"/>
          <w:i/>
          <w:color w:val="000000" w:themeColor="text1"/>
          <w:sz w:val="22"/>
          <w:szCs w:val="20"/>
        </w:rPr>
        <w:t xml:space="preserve"> </w:t>
      </w:r>
      <w:r w:rsidRPr="00041A81">
        <w:rPr>
          <w:rFonts w:ascii="Palatino Linotype" w:hAnsi="Palatino Linotype" w:cs="Arial"/>
          <w:i/>
          <w:sz w:val="22"/>
          <w:szCs w:val="20"/>
        </w:rPr>
        <w:t>Quienes generen, recopilen, administren, manejen, procesen, archiven o conserven información pública serán responsables de la misma en los términos de las disposiciones jurídicas aplicables</w:t>
      </w:r>
      <w:r w:rsidRPr="00041A81">
        <w:rPr>
          <w:rFonts w:ascii="Palatino Linotype" w:hAnsi="Palatino Linotype" w:cs="Arial"/>
          <w:i/>
          <w:color w:val="000000" w:themeColor="text1"/>
          <w:sz w:val="22"/>
          <w:szCs w:val="20"/>
        </w:rPr>
        <w:t>.</w:t>
      </w:r>
    </w:p>
    <w:p w:rsidR="003C0C0D" w:rsidRPr="00325B73" w:rsidRDefault="003C0C0D" w:rsidP="00041A81">
      <w:pPr>
        <w:ind w:left="567" w:right="618"/>
        <w:contextualSpacing/>
        <w:jc w:val="both"/>
        <w:rPr>
          <w:rFonts w:ascii="Palatino Linotype" w:hAnsi="Palatino Linotype" w:cs="Arial"/>
          <w:i/>
          <w:color w:val="000000" w:themeColor="text1"/>
          <w:sz w:val="22"/>
          <w:szCs w:val="22"/>
        </w:rPr>
      </w:pPr>
      <w:r w:rsidRPr="00041A81">
        <w:rPr>
          <w:rFonts w:ascii="Palatino Linotype" w:hAnsi="Palatino Linotype" w:cs="Arial"/>
          <w:b/>
          <w:i/>
          <w:sz w:val="22"/>
          <w:szCs w:val="20"/>
        </w:rPr>
        <w:t>Los sujetos obligados sólo proporcionarán la información pública que se les requiera y que obre en sus archivos y en el estado en que ésta se encuentre.</w:t>
      </w:r>
      <w:r w:rsidRPr="00041A81">
        <w:rPr>
          <w:rFonts w:ascii="Palatino Linotype" w:hAnsi="Palatino Linotype" w:cs="Arial"/>
          <w:i/>
          <w:sz w:val="22"/>
          <w:szCs w:val="20"/>
        </w:rPr>
        <w:t xml:space="preserve"> La obligación de proporcionar información no comprende el procesamiento de la misma, ni el presentarla conforme al interés del solicitante; no estarán obligados a generarla, resumirla, efectuar cálculos o practicar investigaciones”</w:t>
      </w:r>
    </w:p>
    <w:p w:rsidR="003C0C0D" w:rsidRDefault="003C0C0D" w:rsidP="00041A81">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En ese sentido, se debe dejar en claro que el análisis de la naturaleza jurídica de la información solicitada </w:t>
      </w:r>
      <w:r w:rsidRPr="00D54A7D">
        <w:rPr>
          <w:rFonts w:ascii="Palatino Linotype" w:hAnsi="Palatino Linotype" w:cs="Arial"/>
          <w:lang w:eastAsia="es-MX"/>
        </w:rPr>
        <w:t xml:space="preserve">tiene por objeto determinar si ésta la genera, posee o administra </w:t>
      </w:r>
      <w:r w:rsidRPr="00D54A7D">
        <w:rPr>
          <w:rFonts w:ascii="Palatino Linotype" w:hAnsi="Palatino Linotype" w:cs="Arial"/>
          <w:b/>
          <w:lang w:eastAsia="es-MX"/>
        </w:rPr>
        <w:t>EL SUJETO OBLIGADO</w:t>
      </w:r>
      <w:r>
        <w:rPr>
          <w:rFonts w:ascii="Palatino Linotype" w:hAnsi="Palatino Linotype" w:cs="Arial"/>
          <w:lang w:eastAsia="es-MX"/>
        </w:rPr>
        <w:t>,</w:t>
      </w:r>
      <w:r w:rsidRPr="00D54A7D">
        <w:rPr>
          <w:rFonts w:ascii="Palatino Linotype" w:hAnsi="Palatino Linotype" w:cs="Arial"/>
          <w:lang w:eastAsia="es-MX"/>
        </w:rPr>
        <w:t xml:space="preserve"> en ejercicio de su</w:t>
      </w:r>
      <w:r>
        <w:rPr>
          <w:rFonts w:ascii="Palatino Linotype" w:hAnsi="Palatino Linotype" w:cs="Arial"/>
          <w:lang w:eastAsia="es-MX"/>
        </w:rPr>
        <w:t>s funciones de derecho público.</w:t>
      </w:r>
    </w:p>
    <w:p w:rsidR="003C0C0D" w:rsidRDefault="003C0C0D" w:rsidP="00041A81">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En conclusión,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al omitir </w:t>
      </w:r>
      <w:r w:rsidR="00457BA5">
        <w:rPr>
          <w:rFonts w:ascii="Palatino Linotype" w:hAnsi="Palatino Linotype" w:cs="Arial"/>
          <w:lang w:val="es-MX"/>
        </w:rPr>
        <w:t xml:space="preserve">realizar </w:t>
      </w:r>
      <w:r>
        <w:rPr>
          <w:rFonts w:ascii="Palatino Linotype" w:hAnsi="Palatino Linotype" w:cs="Arial"/>
          <w:lang w:val="es-MX"/>
        </w:rPr>
        <w:t xml:space="preserve">el análisis de la naturaleza jurídica de la información, al considerar que la negativa del </w:t>
      </w:r>
      <w:r>
        <w:rPr>
          <w:rFonts w:ascii="Palatino Linotype" w:hAnsi="Palatino Linotype" w:cs="Arial"/>
          <w:b/>
          <w:lang w:val="es-MX"/>
        </w:rPr>
        <w:t xml:space="preserve">SUJETO OBLIGADO </w:t>
      </w:r>
      <w:r>
        <w:rPr>
          <w:rFonts w:ascii="Palatino Linotype" w:hAnsi="Palatino Linotype" w:cs="Arial"/>
          <w:lang w:val="es-MX"/>
        </w:rPr>
        <w:t>es razón suficiente para que éste, en cumplimiento a la resolución subsane la omisión de no dar respuesta a la solicitud de información</w:t>
      </w:r>
      <w:r w:rsidR="003F31AA">
        <w:rPr>
          <w:rFonts w:ascii="Palatino Linotype" w:hAnsi="Palatino Linotype" w:cs="Arial"/>
          <w:lang w:val="es-MX"/>
        </w:rPr>
        <w:t>;</w:t>
      </w:r>
      <w:r>
        <w:rPr>
          <w:rFonts w:ascii="Palatino Linotype" w:hAnsi="Palatino Linotype" w:cs="Arial"/>
          <w:lang w:val="es-MX"/>
        </w:rPr>
        <w:t xml:space="preserve">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Default="003C0C0D" w:rsidP="00041A81">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Bajo ese tenor, al considerarse la negativa del </w:t>
      </w:r>
      <w:r>
        <w:rPr>
          <w:rFonts w:ascii="Palatino Linotype" w:hAnsi="Palatino Linotype" w:cs="Arial"/>
          <w:b/>
        </w:rPr>
        <w:t xml:space="preserve">SUJETO OBLIGADO </w:t>
      </w:r>
      <w:r>
        <w:rPr>
          <w:rFonts w:ascii="Palatino Linotype" w:hAnsi="Palatino Linotype" w:cs="Arial"/>
        </w:rPr>
        <w:t xml:space="preserve">para atender la solicitud planteada, es que la Ponencia </w:t>
      </w:r>
      <w:proofErr w:type="spellStart"/>
      <w:r>
        <w:rPr>
          <w:rFonts w:ascii="Palatino Linotype" w:hAnsi="Palatino Linotype" w:cs="Arial"/>
        </w:rPr>
        <w:t>Resolutora</w:t>
      </w:r>
      <w:proofErr w:type="spellEnd"/>
      <w:r>
        <w:rPr>
          <w:rFonts w:ascii="Palatino Linotype" w:hAnsi="Palatino Linotype" w:cs="Arial"/>
        </w:rPr>
        <w:t xml:space="preserve"> debió especificar tanto en el considerando de análisis como en resolutivos la información que debía ser entregada, derivado del estudio de la naturaleza jurídica, y no señalar que la entrega versaría en términos del considerando en que se estudió el recurso de revisión, es decir, de manera general, pues al emitir la resolución se debe actuar con apego a los principios de exhaustividad y congruencia.</w:t>
      </w:r>
    </w:p>
    <w:p w:rsidR="003C0C0D" w:rsidRPr="007710B1" w:rsidRDefault="003C0C0D" w:rsidP="00041A81">
      <w:pPr>
        <w:spacing w:before="100" w:beforeAutospacing="1" w:after="100" w:afterAutospacing="1" w:line="360" w:lineRule="auto"/>
        <w:ind w:right="49"/>
        <w:jc w:val="both"/>
        <w:rPr>
          <w:rFonts w:ascii="Palatino Linotype" w:hAnsi="Palatino Linotype" w:cs="Arial"/>
          <w:b/>
        </w:rPr>
      </w:pPr>
      <w:r>
        <w:rPr>
          <w:rFonts w:ascii="Palatino Linotype" w:hAnsi="Palatino Linotype"/>
        </w:rPr>
        <w:t xml:space="preserve">En ese sentido, la que suscribe </w:t>
      </w:r>
      <w:r>
        <w:rPr>
          <w:rFonts w:ascii="Palatino Linotype" w:hAnsi="Palatino Linotype" w:cs="Arial"/>
        </w:rPr>
        <w:t xml:space="preserve">emite </w:t>
      </w:r>
      <w:r w:rsidRPr="003031E1">
        <w:rPr>
          <w:rFonts w:ascii="Palatino Linotype" w:hAnsi="Palatino Linotype" w:cs="Arial"/>
          <w:b/>
        </w:rPr>
        <w:t>VOTO PARTICULAR</w:t>
      </w:r>
      <w:r>
        <w:rPr>
          <w:rFonts w:ascii="Palatino Linotype" w:hAnsi="Palatino Linotype" w:cs="Arial"/>
          <w:b/>
        </w:rPr>
        <w:t xml:space="preserve"> </w:t>
      </w:r>
      <w:r w:rsidRPr="00A805F0">
        <w:rPr>
          <w:rFonts w:ascii="Palatino Linotype" w:hAnsi="Palatino Linotype" w:cs="Arial"/>
        </w:rPr>
        <w:t>ya</w:t>
      </w:r>
      <w:r>
        <w:rPr>
          <w:rFonts w:ascii="Palatino Linotype" w:hAnsi="Palatino Linotype" w:cs="Arial"/>
        </w:rPr>
        <w:t xml:space="preserve"> que se reitera se debió analizar en el estudio de la resolución la naturaleza jurídica de la información solicitada con la finalidad de determinar si</w:t>
      </w:r>
      <w:r w:rsidRPr="007710B1">
        <w:rPr>
          <w:rFonts w:ascii="Palatino Linotype" w:hAnsi="Palatino Linotype" w:cs="Arial"/>
          <w:b/>
        </w:rPr>
        <w:t xml:space="preserve"> </w:t>
      </w:r>
      <w:r w:rsidRPr="00EC204B">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 xml:space="preserve">genera, posee o administra la información solicitada </w:t>
      </w:r>
      <w:r w:rsidRPr="00D54A7D">
        <w:rPr>
          <w:rFonts w:ascii="Palatino Linotype" w:hAnsi="Palatino Linotype" w:cs="Arial"/>
          <w:lang w:eastAsia="es-MX"/>
        </w:rPr>
        <w:t>en ejercicio de sus funciones de derecho público</w:t>
      </w:r>
      <w:r>
        <w:rPr>
          <w:rFonts w:ascii="Palatino Linotype" w:hAnsi="Palatino Linotype" w:cs="Arial"/>
          <w:lang w:eastAsia="es-MX"/>
        </w:rPr>
        <w:t>, así como precisar en resolutivos la información de la cual se ord</w:t>
      </w:r>
      <w:bookmarkStart w:id="0" w:name="_GoBack"/>
      <w:bookmarkEnd w:id="0"/>
      <w:r>
        <w:rPr>
          <w:rFonts w:ascii="Palatino Linotype" w:hAnsi="Palatino Linotype" w:cs="Arial"/>
          <w:lang w:eastAsia="es-MX"/>
        </w:rPr>
        <w:t>ena su entrega en atención al artículo 9 de la Ley de Transparencia y Acceso a la Información Pública del Estado de México y Municipios.</w:t>
      </w:r>
    </w:p>
    <w:p w:rsidR="00041A81" w:rsidRPr="00041A81" w:rsidRDefault="00041A81" w:rsidP="00041A81">
      <w:pPr>
        <w:jc w:val="center"/>
        <w:rPr>
          <w:rFonts w:ascii="Palatino Linotype" w:hAnsi="Palatino Linotype"/>
          <w:b/>
          <w:sz w:val="14"/>
        </w:rPr>
      </w:pPr>
    </w:p>
    <w:p w:rsidR="00041A81" w:rsidRDefault="00041A81" w:rsidP="00041A81">
      <w:pPr>
        <w:jc w:val="center"/>
        <w:rPr>
          <w:rFonts w:ascii="Palatino Linotype" w:hAnsi="Palatino Linotype"/>
          <w:b/>
        </w:rPr>
      </w:pPr>
    </w:p>
    <w:p w:rsidR="00041A81" w:rsidRDefault="00041A81" w:rsidP="00041A81">
      <w:pPr>
        <w:jc w:val="center"/>
        <w:rPr>
          <w:rFonts w:ascii="Palatino Linotype" w:hAnsi="Palatino Linotype"/>
          <w:b/>
        </w:rPr>
      </w:pPr>
    </w:p>
    <w:p w:rsidR="00041A81" w:rsidRDefault="00041A81" w:rsidP="00041A81">
      <w:pPr>
        <w:jc w:val="center"/>
        <w:rPr>
          <w:rFonts w:ascii="Palatino Linotype" w:hAnsi="Palatino Linotype"/>
          <w:b/>
        </w:rPr>
      </w:pPr>
    </w:p>
    <w:p w:rsidR="009E608D" w:rsidRDefault="009E608D" w:rsidP="00041A81">
      <w:pPr>
        <w:jc w:val="center"/>
        <w:rPr>
          <w:rFonts w:ascii="Palatino Linotype" w:hAnsi="Palatino Linotype"/>
          <w:b/>
        </w:rPr>
      </w:pPr>
    </w:p>
    <w:p w:rsidR="003C0C0D" w:rsidRPr="001950C9" w:rsidRDefault="003C0C0D" w:rsidP="00041A81">
      <w:pPr>
        <w:jc w:val="center"/>
        <w:rPr>
          <w:rFonts w:ascii="Palatino Linotype" w:hAnsi="Palatino Linotype"/>
          <w:b/>
        </w:rPr>
      </w:pPr>
      <w:r w:rsidRPr="001950C9">
        <w:rPr>
          <w:rFonts w:ascii="Palatino Linotype" w:hAnsi="Palatino Linotype"/>
          <w:b/>
        </w:rPr>
        <w:t>EVA ABAID YAPUR</w:t>
      </w:r>
    </w:p>
    <w:p w:rsidR="003C0C0D" w:rsidRDefault="003C0C0D" w:rsidP="00041A81">
      <w:pPr>
        <w:jc w:val="center"/>
        <w:rPr>
          <w:rFonts w:ascii="Palatino Linotype" w:hAnsi="Palatino Linotype"/>
          <w:b/>
        </w:rPr>
      </w:pPr>
      <w:r w:rsidRPr="001950C9">
        <w:rPr>
          <w:rFonts w:ascii="Palatino Linotype" w:hAnsi="Palatino Linotype"/>
          <w:b/>
        </w:rPr>
        <w:t>COMISIONADA</w:t>
      </w:r>
    </w:p>
    <w:p w:rsidR="00D135DE" w:rsidRDefault="00D135DE" w:rsidP="00041A81">
      <w:pPr>
        <w:jc w:val="center"/>
        <w:rPr>
          <w:rFonts w:ascii="Palatino Linotype" w:hAnsi="Palatino Linotype"/>
          <w:b/>
        </w:rPr>
      </w:pPr>
      <w:r>
        <w:rPr>
          <w:rFonts w:ascii="Palatino Linotype" w:hAnsi="Palatino Linotype" w:cs="Arial"/>
          <w:b/>
        </w:rPr>
        <w:t>(RÚBRICA)</w:t>
      </w:r>
    </w:p>
    <w:p w:rsidR="00041A81" w:rsidRPr="00041A81" w:rsidRDefault="00041A81" w:rsidP="00041A81">
      <w:pPr>
        <w:jc w:val="both"/>
        <w:rPr>
          <w:rFonts w:ascii="Palatino Linotype" w:eastAsia="Calibri" w:hAnsi="Palatino Linotype" w:cs="Arial"/>
          <w:color w:val="000000" w:themeColor="text1"/>
          <w:sz w:val="8"/>
          <w:szCs w:val="8"/>
        </w:rPr>
      </w:pPr>
    </w:p>
    <w:p w:rsidR="003C0C0D" w:rsidRDefault="003C0C0D" w:rsidP="00041A81">
      <w:pPr>
        <w:jc w:val="both"/>
        <w:rPr>
          <w:rFonts w:ascii="Palatino Linotype" w:eastAsia="Calibri" w:hAnsi="Palatino Linotype" w:cs="Arial"/>
          <w:color w:val="000000" w:themeColor="text1"/>
          <w:sz w:val="20"/>
          <w:szCs w:val="20"/>
        </w:rPr>
      </w:pPr>
      <w:r w:rsidRPr="00326C24">
        <w:rPr>
          <w:rFonts w:ascii="Palatino Linotype" w:eastAsia="Calibri" w:hAnsi="Palatino Linotype" w:cs="Arial"/>
          <w:color w:val="000000" w:themeColor="text1"/>
          <w:sz w:val="20"/>
          <w:szCs w:val="20"/>
        </w:rPr>
        <w:t>Esta hoja corresponde al voto particular emitido en</w:t>
      </w:r>
      <w:r w:rsidR="00A632CE">
        <w:rPr>
          <w:rFonts w:ascii="Palatino Linotype" w:eastAsia="Calibri" w:hAnsi="Palatino Linotype" w:cs="Arial"/>
          <w:color w:val="000000" w:themeColor="text1"/>
          <w:sz w:val="20"/>
          <w:szCs w:val="20"/>
        </w:rPr>
        <w:t xml:space="preserve"> la resolución</w:t>
      </w:r>
      <w:r w:rsidRPr="00326C24">
        <w:rPr>
          <w:rFonts w:ascii="Palatino Linotype" w:eastAsia="Calibri" w:hAnsi="Palatino Linotype" w:cs="Arial"/>
          <w:color w:val="000000" w:themeColor="text1"/>
          <w:sz w:val="20"/>
          <w:szCs w:val="20"/>
        </w:rPr>
        <w:t xml:space="preserve"> </w:t>
      </w:r>
      <w:r w:rsidR="00A632CE">
        <w:rPr>
          <w:rFonts w:ascii="Palatino Linotype" w:eastAsia="Calibri" w:hAnsi="Palatino Linotype" w:cs="Arial"/>
          <w:color w:val="000000" w:themeColor="text1"/>
          <w:sz w:val="20"/>
          <w:szCs w:val="20"/>
        </w:rPr>
        <w:t>d</w:t>
      </w:r>
      <w:r w:rsidRPr="00326C24">
        <w:rPr>
          <w:rFonts w:ascii="Palatino Linotype" w:eastAsia="Calibri" w:hAnsi="Palatino Linotype" w:cs="Arial"/>
          <w:color w:val="000000" w:themeColor="text1"/>
          <w:sz w:val="20"/>
          <w:szCs w:val="20"/>
        </w:rPr>
        <w:t>el recurso de revisión 0</w:t>
      </w:r>
      <w:r w:rsidR="003F31AA">
        <w:rPr>
          <w:rFonts w:ascii="Palatino Linotype" w:eastAsia="Calibri" w:hAnsi="Palatino Linotype" w:cs="Arial"/>
          <w:color w:val="000000" w:themeColor="text1"/>
          <w:sz w:val="20"/>
          <w:szCs w:val="20"/>
        </w:rPr>
        <w:t>4098</w:t>
      </w:r>
      <w:r w:rsidRPr="00326C24">
        <w:rPr>
          <w:rFonts w:ascii="Palatino Linotype" w:eastAsia="Calibri" w:hAnsi="Palatino Linotype" w:cs="Arial"/>
          <w:color w:val="000000" w:themeColor="text1"/>
          <w:sz w:val="20"/>
          <w:szCs w:val="20"/>
        </w:rPr>
        <w:t>/INFOEM/IP/RR/201</w:t>
      </w:r>
      <w:r w:rsidR="00A632CE">
        <w:rPr>
          <w:rFonts w:ascii="Palatino Linotype" w:eastAsia="Calibri" w:hAnsi="Palatino Linotype" w:cs="Arial"/>
          <w:color w:val="000000" w:themeColor="text1"/>
          <w:sz w:val="20"/>
          <w:szCs w:val="20"/>
        </w:rPr>
        <w:t>8</w:t>
      </w:r>
      <w:r w:rsidR="003F31AA">
        <w:rPr>
          <w:rFonts w:ascii="Palatino Linotype" w:eastAsia="Calibri" w:hAnsi="Palatino Linotype" w:cs="Arial"/>
          <w:color w:val="000000" w:themeColor="text1"/>
          <w:sz w:val="20"/>
          <w:szCs w:val="20"/>
        </w:rPr>
        <w:t xml:space="preserve"> aprobada</w:t>
      </w:r>
      <w:r w:rsidRPr="00326C24">
        <w:rPr>
          <w:rFonts w:ascii="Palatino Linotype" w:eastAsia="Calibri" w:hAnsi="Palatino Linotype" w:cs="Arial"/>
          <w:color w:val="000000" w:themeColor="text1"/>
          <w:sz w:val="20"/>
          <w:szCs w:val="20"/>
        </w:rPr>
        <w:t xml:space="preserve"> el </w:t>
      </w:r>
      <w:r w:rsidR="003F31AA">
        <w:rPr>
          <w:rFonts w:ascii="Palatino Linotype" w:eastAsia="Calibri" w:hAnsi="Palatino Linotype" w:cs="Arial"/>
          <w:color w:val="000000" w:themeColor="text1"/>
          <w:sz w:val="20"/>
          <w:szCs w:val="20"/>
        </w:rPr>
        <w:t xml:space="preserve">dieciséis </w:t>
      </w:r>
      <w:r w:rsidRPr="00326C24">
        <w:rPr>
          <w:rFonts w:ascii="Palatino Linotype" w:eastAsia="Calibri" w:hAnsi="Palatino Linotype" w:cs="Arial"/>
          <w:color w:val="000000" w:themeColor="text1"/>
          <w:sz w:val="20"/>
          <w:szCs w:val="20"/>
        </w:rPr>
        <w:t xml:space="preserve">de </w:t>
      </w:r>
      <w:r w:rsidR="003F31AA">
        <w:rPr>
          <w:rFonts w:ascii="Palatino Linotype" w:eastAsia="Calibri" w:hAnsi="Palatino Linotype" w:cs="Arial"/>
          <w:color w:val="000000" w:themeColor="text1"/>
          <w:sz w:val="20"/>
          <w:szCs w:val="20"/>
        </w:rPr>
        <w:t>enero</w:t>
      </w:r>
      <w:r w:rsidRPr="00326C24">
        <w:rPr>
          <w:rFonts w:ascii="Palatino Linotype" w:eastAsia="Calibri" w:hAnsi="Palatino Linotype" w:cs="Arial"/>
          <w:color w:val="000000" w:themeColor="text1"/>
          <w:sz w:val="20"/>
          <w:szCs w:val="20"/>
        </w:rPr>
        <w:t xml:space="preserve"> de </w:t>
      </w:r>
      <w:r w:rsidR="003F31AA">
        <w:rPr>
          <w:rFonts w:ascii="Palatino Linotype" w:eastAsia="Calibri" w:hAnsi="Palatino Linotype" w:cs="Arial"/>
          <w:color w:val="000000" w:themeColor="text1"/>
          <w:sz w:val="20"/>
          <w:szCs w:val="20"/>
        </w:rPr>
        <w:t>dos mil diecinueve</w:t>
      </w:r>
      <w:r w:rsidRPr="00326C24">
        <w:rPr>
          <w:rFonts w:ascii="Palatino Linotype" w:eastAsia="Calibri" w:hAnsi="Palatino Linotype" w:cs="Arial"/>
          <w:color w:val="000000" w:themeColor="text1"/>
          <w:sz w:val="20"/>
          <w:szCs w:val="20"/>
        </w:rPr>
        <w:t xml:space="preserve">. </w:t>
      </w:r>
    </w:p>
    <w:p w:rsidR="00326C24" w:rsidRPr="00326C24" w:rsidRDefault="00326C24" w:rsidP="00041A81">
      <w:pPr>
        <w:jc w:val="both"/>
        <w:rPr>
          <w:rFonts w:ascii="Palatino Linotype" w:eastAsia="Calibri" w:hAnsi="Palatino Linotype" w:cs="Arial"/>
          <w:color w:val="000000" w:themeColor="text1"/>
          <w:sz w:val="10"/>
          <w:szCs w:val="20"/>
        </w:rPr>
      </w:pPr>
    </w:p>
    <w:p w:rsidR="00C23B43" w:rsidRPr="00326C24" w:rsidRDefault="00326C24" w:rsidP="00041A81">
      <w:pPr>
        <w:jc w:val="both"/>
        <w:rPr>
          <w:sz w:val="20"/>
          <w:szCs w:val="20"/>
        </w:rPr>
      </w:pPr>
      <w:r>
        <w:rPr>
          <w:rFonts w:ascii="Palatino Linotype" w:eastAsia="Calibri" w:hAnsi="Palatino Linotype" w:cs="Arial"/>
          <w:color w:val="000000" w:themeColor="text1"/>
          <w:sz w:val="20"/>
          <w:szCs w:val="20"/>
        </w:rPr>
        <w:t>YSM/IAHA</w:t>
      </w:r>
    </w:p>
    <w:sectPr w:rsidR="00C23B43" w:rsidRPr="00326C24" w:rsidSect="00C46DF5">
      <w:headerReference w:type="even" r:id="rId6"/>
      <w:headerReference w:type="default" r:id="rId7"/>
      <w:footerReference w:type="default" r:id="rId8"/>
      <w:headerReference w:type="firs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96" w:rsidRDefault="00271296" w:rsidP="00170EC4">
      <w:r>
        <w:separator/>
      </w:r>
    </w:p>
  </w:endnote>
  <w:endnote w:type="continuationSeparator" w:id="0">
    <w:p w:rsidR="00271296" w:rsidRDefault="00271296"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135DE" w:rsidP="003056D9">
    <w:pPr>
      <w:pStyle w:val="Piedepgina"/>
      <w:tabs>
        <w:tab w:val="clear" w:pos="4252"/>
        <w:tab w:val="left" w:pos="4228"/>
      </w:tabs>
      <w:rPr>
        <w:rFonts w:ascii="Palatino Linotype" w:hAnsi="Palatino Linotype" w:cs="Arial"/>
        <w:b/>
        <w:bCs/>
        <w:sz w:val="20"/>
        <w:szCs w:val="20"/>
      </w:rPr>
    </w:pPr>
  </w:p>
  <w:p w:rsidR="003056D9" w:rsidRDefault="00D135DE" w:rsidP="003056D9">
    <w:pPr>
      <w:pStyle w:val="Piedepgina"/>
      <w:tabs>
        <w:tab w:val="clear" w:pos="4252"/>
        <w:tab w:val="left" w:pos="4228"/>
      </w:tabs>
      <w:rPr>
        <w:rFonts w:ascii="Palatino Linotype" w:hAnsi="Palatino Linotype" w:cs="Arial"/>
        <w:b/>
        <w:bCs/>
        <w:sz w:val="20"/>
        <w:szCs w:val="20"/>
      </w:rPr>
    </w:pPr>
  </w:p>
  <w:p w:rsidR="003056D9" w:rsidRDefault="00D135DE" w:rsidP="003056D9">
    <w:pPr>
      <w:pStyle w:val="Piedepgina"/>
      <w:tabs>
        <w:tab w:val="clear" w:pos="4252"/>
        <w:tab w:val="left" w:pos="4228"/>
      </w:tabs>
      <w:rPr>
        <w:rFonts w:ascii="Palatino Linotype" w:hAnsi="Palatino Linotype" w:cs="Arial"/>
        <w:b/>
        <w:bCs/>
        <w:sz w:val="20"/>
        <w:szCs w:val="20"/>
      </w:rPr>
    </w:pPr>
  </w:p>
  <w:p w:rsidR="00455CB3" w:rsidRDefault="00D135DE"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135D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135DE">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D135D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96" w:rsidRDefault="00271296" w:rsidP="00170EC4">
      <w:r>
        <w:separator/>
      </w:r>
    </w:p>
  </w:footnote>
  <w:footnote w:type="continuationSeparator" w:id="0">
    <w:p w:rsidR="00271296" w:rsidRDefault="00271296"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135D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D135DE"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6626EA">
      <w:rPr>
        <w:rFonts w:ascii="Palatino Linotype" w:hAnsi="Palatino Linotype" w:cs="Arial"/>
        <w:sz w:val="20"/>
        <w:szCs w:val="20"/>
      </w:rPr>
      <w:t>4098</w:t>
    </w:r>
    <w:r>
      <w:rPr>
        <w:rFonts w:ascii="Palatino Linotype" w:hAnsi="Palatino Linotype" w:cs="Arial"/>
        <w:sz w:val="20"/>
        <w:szCs w:val="20"/>
      </w:rPr>
      <w:t>/INFOEM/IP</w:t>
    </w:r>
    <w:r w:rsidRPr="00706042">
      <w:rPr>
        <w:rFonts w:ascii="Palatino Linotype" w:hAnsi="Palatino Linotype" w:cs="Arial"/>
        <w:sz w:val="20"/>
        <w:szCs w:val="20"/>
      </w:rPr>
      <w:t>/RR/201</w:t>
    </w:r>
    <w:r w:rsidR="00C54856">
      <w:rPr>
        <w:rFonts w:ascii="Palatino Linotype" w:hAnsi="Palatino Linotype" w:cs="Arial"/>
        <w:sz w:val="20"/>
        <w:szCs w:val="20"/>
      </w:rPr>
      <w:t>8</w:t>
    </w:r>
  </w:p>
  <w:p w:rsidR="0030072F" w:rsidRDefault="00D135DE"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81.1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135D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41A81"/>
    <w:rsid w:val="000F3E2E"/>
    <w:rsid w:val="00145CB3"/>
    <w:rsid w:val="00170EC4"/>
    <w:rsid w:val="00271296"/>
    <w:rsid w:val="00274B0B"/>
    <w:rsid w:val="00284886"/>
    <w:rsid w:val="002E05CE"/>
    <w:rsid w:val="002E26C9"/>
    <w:rsid w:val="00326C24"/>
    <w:rsid w:val="0038047A"/>
    <w:rsid w:val="003C0C0D"/>
    <w:rsid w:val="003F31AA"/>
    <w:rsid w:val="00457BA5"/>
    <w:rsid w:val="005A64BE"/>
    <w:rsid w:val="006626EA"/>
    <w:rsid w:val="006860E9"/>
    <w:rsid w:val="0090146F"/>
    <w:rsid w:val="009228DA"/>
    <w:rsid w:val="009E608D"/>
    <w:rsid w:val="00A632CE"/>
    <w:rsid w:val="00A70652"/>
    <w:rsid w:val="00BE7A7B"/>
    <w:rsid w:val="00C23B43"/>
    <w:rsid w:val="00C54856"/>
    <w:rsid w:val="00C9714C"/>
    <w:rsid w:val="00D135DE"/>
    <w:rsid w:val="00DB7503"/>
    <w:rsid w:val="00E12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1644</Words>
  <Characters>9046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2018-10-12T17:49:00Z</cp:lastPrinted>
  <dcterms:created xsi:type="dcterms:W3CDTF">2019-01-18T19:23:00Z</dcterms:created>
  <dcterms:modified xsi:type="dcterms:W3CDTF">2019-02-18T17:53:00Z</dcterms:modified>
</cp:coreProperties>
</file>